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624" w:rsidRDefault="004D6624" w:rsidP="00CE6871">
      <w:pPr>
        <w:pStyle w:val="Heading1"/>
        <w:rPr>
          <w:lang w:val="bg-BG"/>
        </w:rPr>
      </w:pPr>
      <w:r w:rsidRPr="004D6624">
        <w:rPr>
          <w:lang w:val="bg-BG"/>
        </w:rPr>
        <w:t>Приложение 1</w:t>
      </w:r>
    </w:p>
    <w:p w:rsidR="00CE6871" w:rsidRPr="00CE6871" w:rsidRDefault="00CE6871" w:rsidP="00CE6871">
      <w:pPr>
        <w:rPr>
          <w:lang w:val="bg-BG"/>
        </w:rPr>
      </w:pPr>
    </w:p>
    <w:p w:rsidR="007C5D7E" w:rsidRPr="00F122EA" w:rsidRDefault="00F7700B" w:rsidP="00F122EA">
      <w:pPr>
        <w:spacing w:before="120" w:after="120"/>
        <w:ind w:firstLine="709"/>
        <w:rPr>
          <w:b/>
          <w:szCs w:val="24"/>
          <w:lang w:val="bg-BG"/>
        </w:rPr>
      </w:pPr>
      <w:r w:rsidRPr="00F122EA">
        <w:rPr>
          <w:b/>
          <w:szCs w:val="24"/>
          <w:lang w:val="bg-BG"/>
        </w:rPr>
        <w:t>Ключови приоритети в областта на културната политика на европейско, национално и общинско ниво</w:t>
      </w:r>
    </w:p>
    <w:p w:rsidR="00995A1B" w:rsidRPr="00F122EA" w:rsidRDefault="00995A1B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Културната стратегия на община Царево се разработва в съответствие с актуалните приоритети на европейската, националната и местната културна политика и действащата нормативна рамка. В този раздел са представени основните стратегически документи и ключови актове на три нива – Европейски съюз</w:t>
      </w:r>
      <w:r w:rsidR="00067F84" w:rsidRPr="00F122EA">
        <w:rPr>
          <w:szCs w:val="24"/>
          <w:lang w:val="bg-BG"/>
        </w:rPr>
        <w:t xml:space="preserve"> и ЮНЕСКО</w:t>
      </w:r>
      <w:r w:rsidRPr="00F122EA">
        <w:rPr>
          <w:szCs w:val="24"/>
          <w:lang w:val="bg-BG"/>
        </w:rPr>
        <w:t>, Република България и община Царево – които очертават общите цели, принципи и изисквания към планирането и управлението на културата. Това дава възможност стратегията да стъпи върху споделена визия за ролята на културата и да осигури съгласуваност между местните приоритети и по-широките политики и стандарти.</w:t>
      </w:r>
    </w:p>
    <w:p w:rsidR="001342D0" w:rsidRPr="00F122EA" w:rsidRDefault="00BC1E8D" w:rsidP="00F122EA">
      <w:pPr>
        <w:pStyle w:val="ListParagraph"/>
        <w:numPr>
          <w:ilvl w:val="0"/>
          <w:numId w:val="1"/>
        </w:num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Международна рамка – основни документи на ЮНЕСКО и ООН в областта на културната политика</w:t>
      </w:r>
    </w:p>
    <w:p w:rsidR="007046F6" w:rsidRPr="00F122EA" w:rsidRDefault="007046F6" w:rsidP="00F122EA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F122EA">
        <w:rPr>
          <w:b/>
          <w:lang w:val="bg-BG"/>
        </w:rPr>
        <w:t xml:space="preserve">Конвенцията за опазване на световното културно и природно наследство от 1972 г. </w:t>
      </w:r>
      <w:r w:rsidRPr="00F122EA">
        <w:rPr>
          <w:lang w:val="bg-BG"/>
        </w:rPr>
        <w:t>поставя основите на съвременния подход към изключителните културни и природни обекти, като въвежда понятието „изключителна универсална стойност“ и създава системата на Списъка на световното наследство. Отвъд самия списък, документът задава принципа за споделена отговорност между международната общност и отделните държави за идентифициране, опазване и предаване на тези обекти на бъдещите поколения. Конвенцията насърчава приемането на цялостни планове за управление, които обхващат не само отделни сгради или природни обекти, а и техния контекст – ландшафт, градска среда, местни общности, туристически потоци. Тя подчертава важността на интегрирането на наследството в териториалното планиране, образованието и устойчивия туризъм и стимулира използването на международно сътрудничество, експертна помощ и фондове за укрепване на капацитета и ресурсите за опазване.</w:t>
      </w:r>
    </w:p>
    <w:p w:rsidR="007046F6" w:rsidRPr="00F122EA" w:rsidRDefault="007046F6" w:rsidP="00F122EA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F122EA">
        <w:rPr>
          <w:b/>
          <w:lang w:val="bg-BG"/>
        </w:rPr>
        <w:t>Конвенцията за опазване на нематериалното културно наследство от 2003 г.</w:t>
      </w:r>
      <w:r w:rsidRPr="00F122EA">
        <w:rPr>
          <w:lang w:val="bg-BG"/>
        </w:rPr>
        <w:t xml:space="preserve"> променя фокуса на културната политика, като поставя в центъра „живото“ наследство – обичаи, ритуали, празници, традиционни песни и танци, занаяти, устни традиции и свързани знания. Тя подчертава, че това наследство съществува благодарение на общностите, които го практикуват, и именно те са носители и основни участници в неговото идентифициране, документиране и предаване. Конвенцията насърчава държавите да изготвят регистри на нематериалното наследство, да създават програми за опазване и предаване между поколенията и да интегрират тези елементи в образованието и културните политики, като същевременно се избягва фолклоризация и прекомерна комерсиализация. Така нематериалното наследство се разглежда не като статична „колекция от обичаи“, а като динамичен ресурс за идентичност, социална сплотеност и устойчиво развитие.</w:t>
      </w:r>
      <w:r w:rsidRPr="00F122EA">
        <w:rPr>
          <w:rStyle w:val="inline-flex"/>
          <w:lang w:val="bg-BG"/>
        </w:rPr>
        <w:t>​</w:t>
      </w:r>
    </w:p>
    <w:p w:rsidR="007046F6" w:rsidRPr="00F122EA" w:rsidRDefault="007046F6" w:rsidP="00F122EA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F122EA">
        <w:rPr>
          <w:b/>
          <w:lang w:val="bg-BG"/>
        </w:rPr>
        <w:lastRenderedPageBreak/>
        <w:t>Конвенцията за защита и насърчаване на разнообразието от културни изрази от 2005 г.</w:t>
      </w:r>
      <w:r w:rsidRPr="00F122EA">
        <w:rPr>
          <w:lang w:val="bg-BG"/>
        </w:rPr>
        <w:t xml:space="preserve"> е отправна точка за модерните културни политики, защото ясно формулира, че културните дейности, стоки и услуги имат специфична културна и социална стойност, която оправдава специални мерки за подкрепа. Тя признава суверенното право на държавите да разработват и прилагат политики, насочени към защита и стимулиране на разнообразието от културни изрази – чрез финансиране, регулации, квоти, данъчни стимули, образователни и инфраструктурни програми. Документът поставя акцент върху културните права и достъпа до разнообразни културни съдържания, върху укрепването на културните и творческите индустрии и върху балансираното международно културно обмен и сътрудничество, включително в цифрова среда. В контекста на глобализацията и дигиталните платформи конвенцията насочва държавите да развиват политики, които едновременно отварят пазарите и същевременно защитават местните и независимите културни творци и продуценти.</w:t>
      </w:r>
    </w:p>
    <w:p w:rsidR="00995A1B" w:rsidRPr="00F122EA" w:rsidRDefault="007046F6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 xml:space="preserve">Препоръката относно защитата и насърчаването на музеите и колекциите, тяхното разнообразие и ролята им в обществото (2015) </w:t>
      </w:r>
      <w:r w:rsidRPr="00F122EA">
        <w:rPr>
          <w:szCs w:val="24"/>
          <w:lang w:val="bg-BG"/>
        </w:rPr>
        <w:t>поставя музейната политика в широка обществена рамка, в която музеите вече не са само „хранилища“ на предмети, а активни участници в културния, образователния и социалния живот, като на първо място документът изтъква ролята им за професионално опазване, документиране и дългосрочно управление на колекциите, така че културното наследство да бъде предадено на бъдещите поколения в добро състояние, поставя особен акцент върху достъпа и участието – музеите да бъдат отворени и приобщаващи пространства, където различни групи от населението могат да се срещат с наследството, да учат, да споделят и да се разпознават – и ги разглежда като образователни институции, насърчавайки разработването на програми за деца и възрастни, партньорства с училища и университети и стимулиране на научноизследователската дейност, свързана с колекциите; документът подчертава и социалната функция на музеите като фактор за социална кохезия, междукултурен диалог и упражняване на културните права, формулира ясна връзка с устойчивото развитие чрез участие в местни инициативи, културен туризъм, екологични и общностни проекти и акцентира върху необходимостта от дигитализация и иновации – онлайн достъп, нови технологии и интерактивни форми на представяне – подкрепени от устойчиво финансиране, развитие на професионалния капацитет и високи етични стандарти.</w:t>
      </w:r>
    </w:p>
    <w:p w:rsidR="007046F6" w:rsidRPr="00F122EA" w:rsidRDefault="007046F6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MONDIACULT 2025</w:t>
      </w:r>
      <w:r w:rsidRPr="00F122EA">
        <w:rPr>
          <w:szCs w:val="24"/>
          <w:lang w:val="bg-BG"/>
        </w:rPr>
        <w:t xml:space="preserve"> е глобална конференция на министрите на културата под егидата на ЮНЕСКО, проведена в Барселона, която има за цел да актуализира международната визия за ролята на културата в контекста на задълбочаващи се кризи, цифрова трансформация и предстояща пост</w:t>
      </w:r>
      <w:r w:rsidRPr="00F122EA">
        <w:rPr>
          <w:szCs w:val="24"/>
          <w:lang w:val="bg-BG"/>
        </w:rPr>
        <w:noBreakHyphen/>
        <w:t xml:space="preserve">2030 рамка за устойчиво развитие. В приетия </w:t>
      </w:r>
      <w:r w:rsidRPr="00F122EA">
        <w:rPr>
          <w:b/>
          <w:szCs w:val="24"/>
          <w:lang w:val="bg-BG"/>
        </w:rPr>
        <w:t>Outcome Document</w:t>
      </w:r>
      <w:r w:rsidRPr="00F122EA">
        <w:rPr>
          <w:szCs w:val="24"/>
          <w:lang w:val="bg-BG"/>
        </w:rPr>
        <w:t xml:space="preserve"> държавите се обединяват около виждането, че културата трябва да се разглежда като глобално обществено благо и да бъде призната като самостоятелна цел за устойчиво развитие, а националните и местните културни политики да се ориентират по шест взаимно свързани приоритетни области. Това са</w:t>
      </w:r>
    </w:p>
    <w:p w:rsidR="007046F6" w:rsidRPr="00F122EA" w:rsidRDefault="007046F6" w:rsidP="00F122EA">
      <w:pPr>
        <w:pStyle w:val="ListParagraph"/>
        <w:numPr>
          <w:ilvl w:val="0"/>
          <w:numId w:val="2"/>
        </w:numPr>
        <w:spacing w:before="120" w:after="120"/>
        <w:ind w:firstLine="709"/>
        <w:rPr>
          <w:szCs w:val="24"/>
          <w:lang w:val="bg-BG"/>
        </w:rPr>
      </w:pPr>
      <w:r w:rsidRPr="00F122EA">
        <w:rPr>
          <w:rStyle w:val="Strong"/>
          <w:szCs w:val="24"/>
          <w:lang w:val="bg-BG"/>
        </w:rPr>
        <w:t>Културни права и достъп до култура</w:t>
      </w:r>
      <w:r w:rsidRPr="00F122EA">
        <w:rPr>
          <w:szCs w:val="24"/>
          <w:lang w:val="bg-BG"/>
        </w:rPr>
        <w:t xml:space="preserve"> – утвърждаване на културните права като част от човешките права, гарантиране на свободата на </w:t>
      </w:r>
      <w:r w:rsidRPr="00F122EA">
        <w:rPr>
          <w:szCs w:val="24"/>
          <w:lang w:val="bg-BG"/>
        </w:rPr>
        <w:lastRenderedPageBreak/>
        <w:t>художествено изразяване и приобщаващ достъп до културен живот за всички групи.</w:t>
      </w:r>
    </w:p>
    <w:p w:rsidR="007046F6" w:rsidRPr="00F122EA" w:rsidRDefault="007046F6" w:rsidP="00F122EA">
      <w:pPr>
        <w:pStyle w:val="ListParagraph"/>
        <w:numPr>
          <w:ilvl w:val="0"/>
          <w:numId w:val="2"/>
        </w:numPr>
        <w:spacing w:before="120" w:after="120"/>
        <w:ind w:firstLine="709"/>
        <w:rPr>
          <w:szCs w:val="24"/>
          <w:lang w:val="bg-BG"/>
        </w:rPr>
      </w:pPr>
      <w:r w:rsidRPr="00F122EA">
        <w:rPr>
          <w:rStyle w:val="Strong"/>
          <w:szCs w:val="24"/>
          <w:lang w:val="bg-BG"/>
        </w:rPr>
        <w:t>Култура и устойчиво развитие</w:t>
      </w:r>
      <w:r w:rsidRPr="00F122EA">
        <w:rPr>
          <w:szCs w:val="24"/>
          <w:lang w:val="bg-BG"/>
        </w:rPr>
        <w:t xml:space="preserve"> – признание, че културата трябва да стане самостоятелна цел в новата глобална рамка за устойчиво развитие, и интегриране на културните политики във всички измерения на развитието – социално, икономическо и екологично.</w:t>
      </w:r>
    </w:p>
    <w:p w:rsidR="007046F6" w:rsidRPr="00F122EA" w:rsidRDefault="007046F6" w:rsidP="00F122EA">
      <w:pPr>
        <w:pStyle w:val="ListParagraph"/>
        <w:numPr>
          <w:ilvl w:val="0"/>
          <w:numId w:val="2"/>
        </w:numPr>
        <w:spacing w:before="120" w:after="120"/>
        <w:ind w:firstLine="709"/>
        <w:rPr>
          <w:szCs w:val="24"/>
          <w:lang w:val="bg-BG"/>
        </w:rPr>
      </w:pPr>
      <w:r w:rsidRPr="00F122EA">
        <w:rPr>
          <w:rStyle w:val="Strong"/>
          <w:szCs w:val="24"/>
          <w:lang w:val="bg-BG"/>
        </w:rPr>
        <w:t>Културна икономика и условия на труд</w:t>
      </w:r>
      <w:r w:rsidRPr="00F122EA">
        <w:rPr>
          <w:szCs w:val="24"/>
          <w:lang w:val="bg-BG"/>
        </w:rPr>
        <w:t xml:space="preserve"> – укрепване на културните и творческите сектори като значим икономически фактор, подобряване на статута и социалната защита на артистите и културните работници и осигуряване на справедливо възнаграждение.</w:t>
      </w:r>
    </w:p>
    <w:p w:rsidR="007046F6" w:rsidRPr="00F122EA" w:rsidRDefault="007046F6" w:rsidP="00F122EA">
      <w:pPr>
        <w:pStyle w:val="ListParagraph"/>
        <w:numPr>
          <w:ilvl w:val="0"/>
          <w:numId w:val="2"/>
        </w:numPr>
        <w:spacing w:before="120" w:after="120"/>
        <w:ind w:firstLine="709"/>
        <w:rPr>
          <w:szCs w:val="24"/>
          <w:lang w:val="bg-BG"/>
        </w:rPr>
      </w:pPr>
      <w:r w:rsidRPr="00F122EA">
        <w:rPr>
          <w:rStyle w:val="Strong"/>
          <w:szCs w:val="24"/>
          <w:lang w:val="bg-BG"/>
        </w:rPr>
        <w:t>Култура, образование и знания</w:t>
      </w:r>
      <w:r w:rsidRPr="00F122EA">
        <w:rPr>
          <w:szCs w:val="24"/>
          <w:lang w:val="bg-BG"/>
        </w:rPr>
        <w:t xml:space="preserve"> – по-силно интегриране на културата и изкуствата в формалното и неформалното образование, насърчаване на културното образование, междукултурното разбирателство и предаването на знания и умения.</w:t>
      </w:r>
    </w:p>
    <w:p w:rsidR="007046F6" w:rsidRPr="00F122EA" w:rsidRDefault="007046F6" w:rsidP="00F122EA">
      <w:pPr>
        <w:pStyle w:val="ListParagraph"/>
        <w:numPr>
          <w:ilvl w:val="0"/>
          <w:numId w:val="2"/>
        </w:numPr>
        <w:spacing w:before="120" w:after="120"/>
        <w:ind w:firstLine="709"/>
        <w:rPr>
          <w:szCs w:val="24"/>
          <w:lang w:val="bg-BG"/>
        </w:rPr>
      </w:pPr>
      <w:r w:rsidRPr="00F122EA">
        <w:rPr>
          <w:rStyle w:val="Strong"/>
          <w:szCs w:val="24"/>
          <w:lang w:val="bg-BG"/>
        </w:rPr>
        <w:t>Култура, наследство, климат и кризи</w:t>
      </w:r>
      <w:r w:rsidRPr="00F122EA">
        <w:rPr>
          <w:szCs w:val="24"/>
          <w:lang w:val="bg-BG"/>
        </w:rPr>
        <w:t xml:space="preserve"> – защита на културното наследство в условия на конфликти, бедствия и климатични промени, използване на културата за възстановяване и устойчивост и опазване на уязвими културни практики и места.</w:t>
      </w:r>
    </w:p>
    <w:p w:rsidR="007046F6" w:rsidRPr="00F122EA" w:rsidRDefault="007046F6" w:rsidP="00F122EA">
      <w:pPr>
        <w:pStyle w:val="ListParagraph"/>
        <w:numPr>
          <w:ilvl w:val="0"/>
          <w:numId w:val="2"/>
        </w:numPr>
        <w:spacing w:before="120" w:after="120"/>
        <w:ind w:firstLine="709"/>
        <w:rPr>
          <w:szCs w:val="24"/>
          <w:lang w:val="bg-BG"/>
        </w:rPr>
      </w:pPr>
      <w:r w:rsidRPr="00F122EA">
        <w:rPr>
          <w:rStyle w:val="Strong"/>
          <w:szCs w:val="24"/>
          <w:lang w:val="bg-BG"/>
        </w:rPr>
        <w:t>Културно управление, цифрова трансформация и данни</w:t>
      </w:r>
      <w:r w:rsidRPr="00F122EA">
        <w:rPr>
          <w:szCs w:val="24"/>
          <w:lang w:val="bg-BG"/>
        </w:rPr>
        <w:t xml:space="preserve"> – развитие на приобщаващи системи за управление на културата с участие на различни актьори, адаптиране на политиките към цифровите технологии и изкуствения интелект и инвестиране в данни, изследвания и капацитет за по-добро вземане на решения.</w:t>
      </w:r>
    </w:p>
    <w:p w:rsidR="007046F6" w:rsidRPr="00F122EA" w:rsidRDefault="00432469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Новият градски дневен ред (New Urban Agenda)</w:t>
      </w:r>
      <w:r w:rsidRPr="00F122EA">
        <w:rPr>
          <w:szCs w:val="24"/>
          <w:lang w:val="bg-BG"/>
        </w:rPr>
        <w:t xml:space="preserve"> поставя културата в сърцевината на устойчивото градско развитие, като я разглежда едновременно като ресурс за идентичност, качество на средата и социална сплотеност. Документът подчертава, че градовете и населените места трябва да използват по устойчив начин своето материално и нематериално културно наследство – чрез интегрирани градски и териториални политики и целенасочени инвестиции в културна инфраструктура, музеи, културни обекти и живи традиции. Особен акцент се поставя върху публичните пространства, които се мислят като безопасни, приобщаващи и качествени места за социални контакти, културни изрази, участие и политически дебат, където се отразяват историята и културното разнообразие на градските общества. Новият градски дневен ред насърчава включването на културата и креативността в плановете и инструментите за градско планиране, в програмите за обновяване на квартали и крайбрежни зони и в стратегиите за местна икономика, като подчертава, че културното разнообразие, артистичните дейности и творческите индустрии са ключови за жизнеността на градовете, чувството за принадлежност и балансираното социално, икономическо и екологично развитие.</w:t>
      </w:r>
    </w:p>
    <w:p w:rsidR="00432469" w:rsidRPr="00F122EA" w:rsidRDefault="00432469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Програма 2030</w:t>
      </w:r>
      <w:r w:rsidRPr="00F122EA">
        <w:rPr>
          <w:szCs w:val="24"/>
          <w:lang w:val="bg-BG"/>
        </w:rPr>
        <w:t xml:space="preserve"> задава глобалната рамка за устойчиво развитие до 2030 г. и макар да няма отделна цел, посветена на културата, тя признава културата като </w:t>
      </w:r>
      <w:r w:rsidRPr="00F122EA">
        <w:rPr>
          <w:rStyle w:val="Strong"/>
          <w:b w:val="0"/>
          <w:szCs w:val="24"/>
          <w:lang w:val="bg-BG"/>
        </w:rPr>
        <w:t>пресечна</w:t>
      </w:r>
      <w:r w:rsidRPr="00F122EA">
        <w:rPr>
          <w:szCs w:val="24"/>
          <w:lang w:val="bg-BG"/>
        </w:rPr>
        <w:t xml:space="preserve"> и насърчаваща роля в множество цели и политики. В документите на ЮНЕСКО културата </w:t>
      </w:r>
      <w:r w:rsidRPr="00F122EA">
        <w:rPr>
          <w:szCs w:val="24"/>
          <w:lang w:val="bg-BG"/>
        </w:rPr>
        <w:lastRenderedPageBreak/>
        <w:t>се описва едновременно като самостоятелен сектор (наследство, културни и творчески индустрии) и като хоризонтален фактор, който усилва ефективността на политики за устойчиви градове (Цел 11), достоен труд и икономически растеж (Цел 8), намаляване на неравенствата (Цел 10), климатично действие (Цел 13), иновации (Цел 9), мир и приобщаващи общества (Цел 16) и качествено образование (Цел 4, особено цел 4.7 за култура на мир и уважение към културното разнообразие). Това означава, че стратегиите и плановете за културна политика – на национално и местно ниво – се насърчават да интегрират културните измерения в по-широките цели за хора, планета, просперитет, мир и партньорства, да развиват индикатори за приноса на културата (напр. чрез рамката Culture|2030 Indicators) и да третират културата както като цел сама по себе си (културни права, достъп, опазване), така и като средство за по-ефективни социални, икономически и екологични политики.</w:t>
      </w:r>
    </w:p>
    <w:p w:rsidR="004D6624" w:rsidRPr="00F122EA" w:rsidRDefault="004D6624" w:rsidP="00F122EA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F122EA">
        <w:rPr>
          <w:b/>
          <w:lang w:val="bg-BG"/>
        </w:rPr>
        <w:t>Agenda 21 for Culture</w:t>
      </w:r>
      <w:r w:rsidRPr="00F122EA">
        <w:rPr>
          <w:lang w:val="bg-BG"/>
        </w:rPr>
        <w:t xml:space="preserve"> е глобален референтен документ, приет в рамките на световната мрежа на градовете и местните власти (UCLG), който формулира общи принципи и ангажименти за интегриране на културата като четвърти стълб на устойчивото развитие – наред с икономическото, социалното и екологичното измерение. Той утвърждава културните права като неразделна част от човешките права, подчертава значението на културното наследство, културното разнообразие и творчеството за демокрацията и местната идентичност и разглежда достъпа до култура и участието в културния живот като ключови за качеството на живот и гражданското участие.</w:t>
      </w:r>
    </w:p>
    <w:p w:rsidR="004D6624" w:rsidRPr="00F122EA" w:rsidRDefault="004D6624" w:rsidP="00F122EA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F122EA">
        <w:rPr>
          <w:lang w:val="bg-BG"/>
        </w:rPr>
        <w:t>Документът призовава местните и регионалните власти да разработват приобщаващи културни политики, да укрепват културната инфраструктура и финансирането, да свързват културата с образованието, градското планиране, социалното включване и устойчивото градско развитие, както и да насърчават международното културно сътрудничество и обмен на добри практики между градовете. В този смисъл Agenda 21 for Culture служи като практическа рамка и „кодекс“ за градове и общини, които желаят системно да интегрират културата в своите стратегии и политики за развитие.</w:t>
      </w:r>
    </w:p>
    <w:p w:rsidR="00A71D6A" w:rsidRPr="00F122EA" w:rsidRDefault="00A71D6A" w:rsidP="00F122EA">
      <w:pPr>
        <w:pStyle w:val="ListParagraph"/>
        <w:numPr>
          <w:ilvl w:val="0"/>
          <w:numId w:val="1"/>
        </w:numPr>
        <w:spacing w:before="120" w:after="120"/>
        <w:ind w:firstLine="709"/>
        <w:rPr>
          <w:b/>
          <w:szCs w:val="24"/>
          <w:lang w:val="bg-BG"/>
        </w:rPr>
      </w:pPr>
      <w:r w:rsidRPr="00F122EA">
        <w:rPr>
          <w:b/>
          <w:szCs w:val="24"/>
          <w:lang w:val="bg-BG"/>
        </w:rPr>
        <w:t xml:space="preserve">Европейска рамка </w:t>
      </w:r>
      <w:r w:rsidR="004D6624" w:rsidRPr="00F122EA">
        <w:rPr>
          <w:b/>
          <w:szCs w:val="24"/>
          <w:lang w:val="bg-BG"/>
        </w:rPr>
        <w:t>на културни политики</w:t>
      </w:r>
    </w:p>
    <w:p w:rsidR="00A71D6A" w:rsidRPr="00F122EA" w:rsidRDefault="00A71D6A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„Culture Compass for Europe“</w:t>
      </w:r>
      <w:r w:rsidRPr="00F122EA">
        <w:rPr>
          <w:szCs w:val="24"/>
          <w:lang w:val="bg-BG"/>
        </w:rPr>
        <w:t xml:space="preserve"> е стратегически документ на Европейската комисия, който задава дългосрочна визия и обща посока на политиките за култура в ЕС в контекста на бързи промени, кризи и цифрова трансформация. Той стъпва на идеята, че културата е основен елемент на европейската идентичност и демокрация и определя четири ключови направления: </w:t>
      </w:r>
      <w:r w:rsidRPr="00F122EA">
        <w:rPr>
          <w:b/>
          <w:szCs w:val="24"/>
          <w:lang w:val="bg-BG"/>
        </w:rPr>
        <w:t>ЕС, който отстоява и укрепва европейските ценности и културните права; ЕС, който овластява артистите и културните професионалисти и подкрепя хората; ЕС, който използва културата и културното наследство за по-голяма конкурентоспособност, устойчивост и сплотеност; и ЕС, който отстоява международните културни отношения и партньорства.</w:t>
      </w:r>
      <w:r w:rsidRPr="00F122EA">
        <w:rPr>
          <w:szCs w:val="24"/>
          <w:lang w:val="bg-BG"/>
        </w:rPr>
        <w:t xml:space="preserve"> Компасът е подкрепен от пакет от 20 водещи действия – като периодичен „Доклад за състоянието на културата в ЕС“, структурен диалог с културния сектор, Европейски културен</w:t>
      </w:r>
      <w:r w:rsidR="004D6624" w:rsidRPr="00F122EA">
        <w:rPr>
          <w:szCs w:val="24"/>
          <w:lang w:val="bg-BG"/>
        </w:rPr>
        <w:t xml:space="preserve"> хъб за данни</w:t>
      </w:r>
      <w:r w:rsidRPr="00F122EA">
        <w:rPr>
          <w:szCs w:val="24"/>
          <w:lang w:val="bg-BG"/>
        </w:rPr>
        <w:t xml:space="preserve">, Харта на артистите на ЕС, стратегия за изкуствения интелект в културата и актуализирана стратегия за международни културни отношения – които целят да </w:t>
      </w:r>
      <w:r w:rsidRPr="00F122EA">
        <w:rPr>
          <w:szCs w:val="24"/>
          <w:lang w:val="bg-BG"/>
        </w:rPr>
        <w:lastRenderedPageBreak/>
        <w:t>подобрят условията на труд на творците, достъпа до култура, дигиталната и зелена трансформация на сектора и ролята на културата във вътрешнат</w:t>
      </w:r>
      <w:r w:rsidR="004D6624" w:rsidRPr="00F122EA">
        <w:rPr>
          <w:szCs w:val="24"/>
          <w:lang w:val="bg-BG"/>
        </w:rPr>
        <w:t>а и външната политика на Съюза.</w:t>
      </w:r>
    </w:p>
    <w:p w:rsidR="00A71D6A" w:rsidRPr="00F122EA" w:rsidRDefault="00A71D6A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„Работният план на ЕС за култура 2023–2026“</w:t>
      </w:r>
      <w:r w:rsidRPr="00F122EA">
        <w:rPr>
          <w:szCs w:val="24"/>
          <w:lang w:val="bg-BG"/>
        </w:rPr>
        <w:t xml:space="preserve"> е резолюция на Съвета, която превежда общите стратегически визии в конкретна четиригодишна програма за сътрудничество между държавите членки и Европейската комисия. Той групира европейската политика за култура в четири взаимно свързани приоритета: „Артисти и културни професионалисти: овластяване на културните и творческите сектори“, „Култура за хората: засилване на културното участие и ролята на културата в обществото“, „Култура за планетата: разгърнат потенциалът на културата за зеления преход“ и „Култура за ко‑креативни партньорства: укрепване на културното измерение на външните отношения на ЕС“. В рамките на тези четири оси са заложени 21 конкретни действия, насочени към подобряване на условията на труд на артистите, ролята на културата за здраве и благополучие, достъпа до култура и демократичното участие, ролята на библиотеките, зеления и дигиталния преход на секторите, връзката между култура, културно наследство и климатични промени, качествената жизнена среда и международните културни отношения, включително подкрепа за Украйна.</w:t>
      </w:r>
    </w:p>
    <w:p w:rsidR="004D6624" w:rsidRPr="00F122EA" w:rsidRDefault="004D6624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„Творческа Европа“</w:t>
      </w:r>
      <w:r w:rsidRPr="00F122EA">
        <w:rPr>
          <w:szCs w:val="24"/>
          <w:lang w:val="bg-BG"/>
        </w:rPr>
        <w:t xml:space="preserve"> е рамковата програма на ЕС за подкрепа на културните и творческите сектори през периода 2021–2027 г., със специален фокус върху транснационалното културно сътрудничество, конкурентоспособността и адаптацията към дигиталния и зеления преход. Общите ѝ цели са да опази, развие и популяризира европейското културно и езиково разнообразие и наследство и едновременно с това да засили икономическия потенциал и устойчивостта на културните и творческите сектори, особено аудиовизуалния. Програмата е структурирана в три стълба: културен стълб (Culture strand), аудиовизуален стълб (MEDIA) и междусекторен стълб (Cross-sectoral), които заедно покриват почти целия спектър на културните и творческите отрасли – изпълнителски изкуства, музика, литература, визуални изкуства, дизайн, културно наследство, кино, телевизия, медии и иновации. Културният стълб подкрепя транснационални проекти за културно сътрудничество, мрежи и платформи, мобилност на артисти и културни професионалисти, литературни преводи и секторно-специфични инициативи (музика, културно наследство, архитектура, културен туризъм и др.), с нов акцент върху създаването, циркулацията и иновациите. Ключовите приоритети на „Творческа Европа“ включват: укрепване на художественото и културно сътрудничество на европейско ниво и подкрепа за създаването и разпространението на европейски произведения; развитие на нови бизнес модели, иновации и дигитални решения в културните и творческите сектори; подобряване на достъпа до култура и развитието на публики, включително чрез приобщаващи и участнически формати; стимулиране на мобилността на творци и професионалисти и изграждане на европейски мрежи и платформи; насърчаване на зелената трансформация и устойчивите практики в културата; както и подкрепа за разнообразна, независима и плуралистична медийна среда. </w:t>
      </w:r>
    </w:p>
    <w:p w:rsidR="005E481B" w:rsidRPr="00F122EA" w:rsidRDefault="005E481B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lastRenderedPageBreak/>
        <w:t>Предложението за Регламент за създаване на програма „АгораЕС“ за периода 2028–2034 г. пренарежда архитектурата на европейското финансиране в областта на културата, медиите и ценностите, като обединява „Творческа Европа“ и програмата CERV в една обща рамка. Вместо напълно отделна програма „Творческа Европа“, културният стълб се запазва като Culture</w:t>
      </w:r>
      <w:r w:rsidRPr="00F122EA">
        <w:rPr>
          <w:szCs w:val="24"/>
          <w:lang w:val="bg-BG"/>
        </w:rPr>
        <w:noBreakHyphen/>
        <w:t>strand в „АгораЕС“, заедно с MEDIA+ и CERV+, като основните форми на подкрепа – транснационални проекти за културно сътрудничество, мрежи, платформи, мобилност, инициативи като Европейски столици на културата и Европейски етикет за наследство – се запазват и надграждат. Сливането в една програма е придружено и от съществено увеличение на бюджета – общо около 8,6 млрд. евро, от които значителен дял за културата – и цели да опрости инструментите, да позволи по-ясни синергии между култура, медии и демокрация и да насърчи проекти, които едновременно развиват културно съдържание, медийна среда и гражданско участие.</w:t>
      </w:r>
    </w:p>
    <w:p w:rsidR="00E03911" w:rsidRPr="00F122EA" w:rsidRDefault="00E0391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Европейският парламент е приел и редица резолюции и становища в областта на културата, които рамкират бъдещите културни политики на европейско, национално и местно ниво и допълват стратегическите документи на Европейската комисия. Тези актове очертават приоритети като подобряване на социалното и професионалното положение на артистите и културните работници, подкрепа за културното възстановяване след кризи, опазване и устойчиво използване на културното наследство и гарантиране на справедливо възнаграждение и културни права, което ги прави важна отправна точка и за формулирането на местни културни стратегии.</w:t>
      </w:r>
    </w:p>
    <w:p w:rsidR="00E03911" w:rsidRPr="00F122EA" w:rsidRDefault="00E0391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Резолюция на ЕП за рамка на ЕС за социалното и професионалното положение на артистите и работещите в културните и творческите сектори</w:t>
      </w:r>
      <w:r w:rsidRPr="00F122EA">
        <w:rPr>
          <w:szCs w:val="24"/>
          <w:lang w:val="bg-BG"/>
        </w:rPr>
        <w:t xml:space="preserve"> (P9_TA(2023)0405, 21.11.2023 г.) призовава Европейската комисия да изготви рамка на ЕС, съчетаваща законодателни и незаконови инструменти за значително подобряване на условията на труд, социалната защита и възнаграждението на артистите и културните професионалисти, включително чрез въвеждане на специфичен статут на артиста, социална условност в програмите за финансиране, защита на авторските права, гарантиране на художествената свобода и адресиране на въздействието на дигитализацията и изкуствения интелект върху труда и доходите в сектора.</w:t>
      </w:r>
    </w:p>
    <w:p w:rsidR="00E03911" w:rsidRPr="00F122EA" w:rsidRDefault="00E0391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szCs w:val="24"/>
          <w:lang w:val="bg-BG"/>
        </w:rPr>
        <w:t>Решение (ЕС) 2017/864 на Европейския парламент и на Съвета за Европейска година на културното наследство</w:t>
      </w:r>
      <w:r w:rsidRPr="00F122EA">
        <w:rPr>
          <w:szCs w:val="24"/>
          <w:lang w:val="bg-BG"/>
        </w:rPr>
        <w:t xml:space="preserve"> (2018 г.) определя 2018 г. за Европейска година на културното наследство с цел да насърчи споделянето и оценяването на европейското културно наследство като общ ресурс, да повиши осведомеността за общата история и ценности и да укрепи чувството за принадлежност към общо европейско пространство; формулира общи и специфични цели, свързани с опазване, оползотворяване, приобщаващо и устойчиво управление на наследството, развитие на публики и интегриране на наследството в образованието, туризма и международните отношения.</w:t>
      </w:r>
    </w:p>
    <w:p w:rsidR="00E03911" w:rsidRPr="00F122EA" w:rsidRDefault="00E0391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 xml:space="preserve">Съвместното съобщение </w:t>
      </w:r>
      <w:r w:rsidRPr="00F122EA">
        <w:rPr>
          <w:b/>
          <w:szCs w:val="24"/>
          <w:lang w:val="bg-BG"/>
        </w:rPr>
        <w:t>„Към стратегия на ЕС за международните културни отношения“</w:t>
      </w:r>
      <w:r w:rsidRPr="00F122EA">
        <w:rPr>
          <w:szCs w:val="24"/>
          <w:lang w:val="bg-BG"/>
        </w:rPr>
        <w:t xml:space="preserve"> (JOIN(2016)29) очертава как културата и културното сътрудничество трябва да се превърнат в по-структурен и видим стълб на външната политика на Европейския съюз. Документът формулира основни принципи за действията на ЕС – </w:t>
      </w:r>
      <w:r w:rsidRPr="00F122EA">
        <w:rPr>
          <w:szCs w:val="24"/>
          <w:lang w:val="bg-BG"/>
        </w:rPr>
        <w:lastRenderedPageBreak/>
        <w:t xml:space="preserve">защита на правата на човека и културното разнообразие, насърчаване на взаимно уважение и междукултурен диалог, допълняемост между ЕС и </w:t>
      </w:r>
      <w:r w:rsidR="005E481B" w:rsidRPr="00F122EA">
        <w:rPr>
          <w:szCs w:val="24"/>
          <w:lang w:val="bg-BG"/>
        </w:rPr>
        <w:t xml:space="preserve">държавите членки, хоризонтален </w:t>
      </w:r>
      <w:r w:rsidRPr="00F122EA">
        <w:rPr>
          <w:szCs w:val="24"/>
          <w:lang w:val="bg-BG"/>
        </w:rPr>
        <w:t>подход към културата във всички външни политики и използване на съществуващи рамки за сътрудничество.</w:t>
      </w:r>
      <w:r w:rsidR="005E481B" w:rsidRPr="00F122EA">
        <w:rPr>
          <w:szCs w:val="24"/>
          <w:lang w:val="bg-BG"/>
        </w:rPr>
        <w:t xml:space="preserve"> </w:t>
      </w:r>
      <w:r w:rsidRPr="00F122EA">
        <w:rPr>
          <w:szCs w:val="24"/>
          <w:lang w:val="bg-BG"/>
        </w:rPr>
        <w:t>Стратегията се организира около три основни направления: подкрепа на културата като двигател за социално и икономическо устойчиво развитие (вкл. културни и творчески индустрии, културен туризъм, местни икономики); насърчаване на културата и междукултурния диалог като средство за мирни отношения и предотвратяване на конфликти; и засилване на сътрудничеството в областта на културното наследство, включително опазване, реставрация, борба с незаконния трафик и съвместни проекти с партньорски държави. Комуникацията предлага и по-стратегически подход към културната дипломация – чрез по-тясно сътрудничество между институциите на ЕС, държавите членки и техните културни институти, по-активно участие на гражданското общество и културните оператори и по-добро използване на съществуващите програми и инструменти на ЕС за финансиране на международни културни инициативи.</w:t>
      </w:r>
    </w:p>
    <w:p w:rsidR="005E481B" w:rsidRPr="00F122EA" w:rsidRDefault="005E481B" w:rsidP="00F122EA">
      <w:pPr>
        <w:spacing w:before="120" w:after="120"/>
        <w:ind w:firstLine="709"/>
        <w:rPr>
          <w:szCs w:val="24"/>
          <w:lang w:val="bg-BG"/>
        </w:rPr>
      </w:pPr>
    </w:p>
    <w:p w:rsidR="005E481B" w:rsidRPr="00F122EA" w:rsidRDefault="00E00C21" w:rsidP="00F122EA">
      <w:pPr>
        <w:pStyle w:val="ListParagraph"/>
        <w:numPr>
          <w:ilvl w:val="0"/>
          <w:numId w:val="1"/>
        </w:numPr>
        <w:spacing w:before="120" w:after="120"/>
        <w:ind w:firstLine="709"/>
        <w:rPr>
          <w:szCs w:val="24"/>
          <w:lang w:val="bg-BG"/>
        </w:rPr>
      </w:pPr>
      <w:proofErr w:type="spellStart"/>
      <w:r w:rsidRPr="00F122EA">
        <w:rPr>
          <w:rStyle w:val="Strong"/>
          <w:szCs w:val="24"/>
        </w:rPr>
        <w:t>Национална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стратегическа</w:t>
      </w:r>
      <w:proofErr w:type="spellEnd"/>
      <w:r w:rsidRPr="00F122EA">
        <w:rPr>
          <w:rStyle w:val="Strong"/>
          <w:szCs w:val="24"/>
        </w:rPr>
        <w:t xml:space="preserve"> и </w:t>
      </w:r>
      <w:proofErr w:type="spellStart"/>
      <w:r w:rsidRPr="00F122EA">
        <w:rPr>
          <w:rStyle w:val="Strong"/>
          <w:szCs w:val="24"/>
        </w:rPr>
        <w:t>нормативна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рамка</w:t>
      </w:r>
      <w:proofErr w:type="spellEnd"/>
      <w:r w:rsidRPr="00F122EA">
        <w:rPr>
          <w:rStyle w:val="Strong"/>
          <w:szCs w:val="24"/>
        </w:rPr>
        <w:t xml:space="preserve"> в </w:t>
      </w:r>
      <w:proofErr w:type="spellStart"/>
      <w:r w:rsidRPr="00F122EA">
        <w:rPr>
          <w:rStyle w:val="Strong"/>
          <w:szCs w:val="24"/>
        </w:rPr>
        <w:t>областта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на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културата</w:t>
      </w:r>
      <w:proofErr w:type="spellEnd"/>
    </w:p>
    <w:p w:rsidR="00E00C21" w:rsidRPr="00F122EA" w:rsidRDefault="00E00C21" w:rsidP="00F122EA">
      <w:pPr>
        <w:spacing w:before="120" w:after="120"/>
        <w:ind w:firstLine="709"/>
        <w:rPr>
          <w:b/>
          <w:i/>
          <w:szCs w:val="24"/>
          <w:lang w:val="bg-BG"/>
        </w:rPr>
      </w:pPr>
      <w:r w:rsidRPr="00F122EA">
        <w:rPr>
          <w:b/>
          <w:i/>
          <w:szCs w:val="24"/>
          <w:lang w:val="bg-BG"/>
        </w:rPr>
        <w:t>Конституция на Република България (1991)</w:t>
      </w:r>
    </w:p>
    <w:p w:rsidR="00E00C21" w:rsidRPr="00F122EA" w:rsidRDefault="00E00C2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Конституцията поставя основата на националната културна политика, като признава културните права на гражданите и задължението на държавата да опазва националната идентичност и културното наследство. Тя гарантира правото на достъп до културни ценности и свобода на художественото творчество, както и автономията на културните институции в рамките на закона, което задава рамка за всички последващи закони и стратегии в областта на културата.</w:t>
      </w:r>
    </w:p>
    <w:p w:rsidR="00E00C21" w:rsidRPr="00F122EA" w:rsidRDefault="00E00C21" w:rsidP="00F122EA">
      <w:pPr>
        <w:spacing w:before="120" w:after="120"/>
        <w:ind w:firstLine="709"/>
        <w:rPr>
          <w:b/>
          <w:i/>
          <w:szCs w:val="24"/>
          <w:lang w:val="bg-BG"/>
        </w:rPr>
      </w:pPr>
      <w:r w:rsidRPr="00F122EA">
        <w:rPr>
          <w:b/>
          <w:i/>
          <w:szCs w:val="24"/>
          <w:lang w:val="bg-BG"/>
        </w:rPr>
        <w:t>Закон за закрила и развитие на културата</w:t>
      </w:r>
    </w:p>
    <w:p w:rsidR="00E00C21" w:rsidRPr="00F122EA" w:rsidRDefault="00E00C2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Това е основният рамков закон за културната политика в България, който определя целите, принципите и инструментите на държавната подкрепа за културата. Законът описва видовете културни институти (държавни, общински, регионални, независими), техните основни функции, механизми за финансиране (държавни субсидии, общински бюджети, проекти, спонсорство), както и ролята на държавата и общините в създаването на условия за развитие на културата, достъп до културни услуги и участие в културния живот. В него е заложено изискването за разработване на Национална стратегия за развитие на културата за десетгодишен период, което свързва законовата рамка със стратегическото планиране.</w:t>
      </w:r>
    </w:p>
    <w:p w:rsidR="00E00C21" w:rsidRPr="00F122EA" w:rsidRDefault="00E00C21" w:rsidP="00F122EA">
      <w:pPr>
        <w:spacing w:before="120" w:after="120"/>
        <w:ind w:firstLine="709"/>
        <w:rPr>
          <w:b/>
          <w:i/>
          <w:szCs w:val="24"/>
          <w:lang w:val="bg-BG"/>
        </w:rPr>
      </w:pPr>
      <w:r w:rsidRPr="00F122EA">
        <w:rPr>
          <w:b/>
          <w:i/>
          <w:szCs w:val="24"/>
          <w:lang w:val="bg-BG"/>
        </w:rPr>
        <w:t>Закон за културното наследство</w:t>
      </w:r>
    </w:p>
    <w:p w:rsidR="00E00C21" w:rsidRPr="00F122EA" w:rsidRDefault="00E00C2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 xml:space="preserve">Законът за културното наследство урежда системата за опазване на материалното и нематериалното културно наследство, включително недвижими и движими културни ценности, археологически обекти, музеи, колекции и регистри. Той определя категориите културни ценности, процедурите за тяхното деклариране и вписване, </w:t>
      </w:r>
      <w:r w:rsidRPr="00F122EA">
        <w:rPr>
          <w:szCs w:val="24"/>
          <w:lang w:val="bg-BG"/>
        </w:rPr>
        <w:lastRenderedPageBreak/>
        <w:t>режимите за защита и използване, както и правомощията на Министерството на културата, общините и другите компетентни органи. Законът регулира и дейности като археологически проучвания, реставрация, консервация, износ на културни ценности, управление на музейните фондове и задълженията на собствениците, което го прави ключов за всяка политика, свързана с културната инфраструктура и наследството на местно ниво.</w:t>
      </w:r>
    </w:p>
    <w:p w:rsidR="00E00C21" w:rsidRPr="00F122EA" w:rsidRDefault="00E00C21" w:rsidP="00F122EA">
      <w:pPr>
        <w:spacing w:before="120" w:after="120"/>
        <w:ind w:firstLine="709"/>
        <w:rPr>
          <w:b/>
          <w:i/>
          <w:szCs w:val="24"/>
          <w:lang w:val="bg-BG"/>
        </w:rPr>
      </w:pPr>
      <w:r w:rsidRPr="00F122EA">
        <w:rPr>
          <w:b/>
          <w:i/>
          <w:szCs w:val="24"/>
          <w:lang w:val="bg-BG"/>
        </w:rPr>
        <w:t>Закон за народните читалища</w:t>
      </w:r>
    </w:p>
    <w:p w:rsidR="00E00C21" w:rsidRPr="00F122EA" w:rsidRDefault="00E00C21" w:rsidP="00F122EA">
      <w:pPr>
        <w:spacing w:before="120" w:after="120"/>
        <w:ind w:firstLine="709"/>
        <w:rPr>
          <w:szCs w:val="24"/>
          <w:lang w:val="bg-BG"/>
        </w:rPr>
      </w:pPr>
    </w:p>
    <w:p w:rsidR="00E00C21" w:rsidRPr="00F122EA" w:rsidRDefault="00E00C2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Законът за народните читалища урежда учредяването, устройството, управлението, дейността, имуществото, финансирането, издръжката и прекратяването на читалищата като традиционни български културно-просветни сдружения. Той дефинира читалищата като самоуправляващи се юридически лица с нестопанска цел, отворени за участие на всички граждани без оглед на възраст, пол, политически и религиозни убеждения или етническо самосъзнание, които изпълняват държавни и обществено значими културно-просветни функции – съхраняване на местните традиции и обичаи, развиване на любителското творчество, разпространение на знания, осигуряване на достъп до информация, библиотечни услуги и културни инициативи. Законът описва органите на управление, техните правомощия, източниците на финансиране  и ролята на общините в подкрепата и съгласуването на читалищната мрежа, като по този начин поставя правната основа за читалищата като гръбнак на местния културен живот.</w:t>
      </w:r>
    </w:p>
    <w:p w:rsidR="00E00C21" w:rsidRPr="00F122EA" w:rsidRDefault="00E00C21" w:rsidP="00F122EA">
      <w:pPr>
        <w:spacing w:before="120" w:after="120"/>
        <w:ind w:firstLine="709"/>
        <w:rPr>
          <w:b/>
          <w:i/>
          <w:szCs w:val="24"/>
          <w:lang w:val="bg-BG"/>
        </w:rPr>
      </w:pPr>
      <w:r w:rsidRPr="00F122EA">
        <w:rPr>
          <w:b/>
          <w:i/>
          <w:szCs w:val="24"/>
          <w:lang w:val="bg-BG"/>
        </w:rPr>
        <w:t>Национална програма за развитие „България 2030“</w:t>
      </w:r>
    </w:p>
    <w:p w:rsidR="00E00C21" w:rsidRPr="00F122EA" w:rsidRDefault="00E00C21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„</w:t>
      </w:r>
      <w:proofErr w:type="spellStart"/>
      <w:r w:rsidRPr="00F122EA">
        <w:rPr>
          <w:szCs w:val="24"/>
        </w:rPr>
        <w:t>Националната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програма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 „</w:t>
      </w:r>
      <w:proofErr w:type="spellStart"/>
      <w:r w:rsidRPr="00F122EA">
        <w:rPr>
          <w:szCs w:val="24"/>
        </w:rPr>
        <w:t>България</w:t>
      </w:r>
      <w:proofErr w:type="spellEnd"/>
      <w:r w:rsidRPr="00F122EA">
        <w:rPr>
          <w:szCs w:val="24"/>
        </w:rPr>
        <w:t xml:space="preserve"> 2030“ е </w:t>
      </w:r>
      <w:proofErr w:type="spellStart"/>
      <w:r w:rsidRPr="00F122EA">
        <w:rPr>
          <w:szCs w:val="24"/>
        </w:rPr>
        <w:t>основният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средносрочен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стратегически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документ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държавата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който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задава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визията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приоритетите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до</w:t>
      </w:r>
      <w:proofErr w:type="spellEnd"/>
      <w:r w:rsidRPr="00F122EA">
        <w:rPr>
          <w:szCs w:val="24"/>
        </w:rPr>
        <w:t xml:space="preserve"> 2030 г. и в </w:t>
      </w:r>
      <w:proofErr w:type="spellStart"/>
      <w:r w:rsidRPr="00F122EA">
        <w:rPr>
          <w:szCs w:val="24"/>
        </w:rPr>
        <w:t>който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културата</w:t>
      </w:r>
      <w:proofErr w:type="spellEnd"/>
      <w:r w:rsidRPr="00F122EA">
        <w:rPr>
          <w:szCs w:val="24"/>
        </w:rPr>
        <w:t xml:space="preserve"> е </w:t>
      </w:r>
      <w:proofErr w:type="spellStart"/>
      <w:r w:rsidRPr="00F122EA">
        <w:rPr>
          <w:szCs w:val="24"/>
        </w:rPr>
        <w:t>интегрирана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като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важен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компонент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качеството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живот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конкурентоспособността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регионалното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. В </w:t>
      </w:r>
      <w:proofErr w:type="spellStart"/>
      <w:r w:rsidRPr="00F122EA">
        <w:rPr>
          <w:szCs w:val="24"/>
        </w:rPr>
        <w:t>рамката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приоритети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наследство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културата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туризмът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разглеждат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както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като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самостоятелен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ресурс</w:t>
      </w:r>
      <w:proofErr w:type="spellEnd"/>
      <w:r w:rsidRPr="00F122EA">
        <w:rPr>
          <w:szCs w:val="24"/>
        </w:rPr>
        <w:t xml:space="preserve"> (</w:t>
      </w:r>
      <w:proofErr w:type="spellStart"/>
      <w:r w:rsidRPr="00F122EA">
        <w:rPr>
          <w:szCs w:val="24"/>
        </w:rPr>
        <w:t>съхраняване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модерно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управление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ценности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културния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туризъм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подкрепа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културните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творческите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индустрии</w:t>
      </w:r>
      <w:proofErr w:type="spellEnd"/>
      <w:r w:rsidRPr="00F122EA">
        <w:rPr>
          <w:szCs w:val="24"/>
        </w:rPr>
        <w:t xml:space="preserve">), </w:t>
      </w:r>
      <w:proofErr w:type="spellStart"/>
      <w:r w:rsidRPr="00F122EA">
        <w:rPr>
          <w:szCs w:val="24"/>
        </w:rPr>
        <w:t>така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като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хоризонтален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фактор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който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допринася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социалната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сплотеност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регионалната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идентичност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привлекателността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населените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места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иновациите</w:t>
      </w:r>
      <w:proofErr w:type="spellEnd"/>
      <w:r w:rsidRPr="00F122EA">
        <w:rPr>
          <w:szCs w:val="24"/>
        </w:rPr>
        <w:t xml:space="preserve">. </w:t>
      </w:r>
      <w:proofErr w:type="spellStart"/>
      <w:r w:rsidRPr="00F122EA">
        <w:rPr>
          <w:szCs w:val="24"/>
        </w:rPr>
        <w:t>Документът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подчертава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необходимостта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инвестиции</w:t>
      </w:r>
      <w:proofErr w:type="spellEnd"/>
      <w:r w:rsidRPr="00F122EA">
        <w:rPr>
          <w:szCs w:val="24"/>
        </w:rPr>
        <w:t xml:space="preserve"> в </w:t>
      </w:r>
      <w:proofErr w:type="spellStart"/>
      <w:r w:rsidRPr="00F122EA">
        <w:rPr>
          <w:szCs w:val="24"/>
        </w:rPr>
        <w:t>културна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инфраструктура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дигитализация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наследство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от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интегриране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политики</w:t>
      </w:r>
      <w:proofErr w:type="spellEnd"/>
      <w:r w:rsidRPr="00F122EA">
        <w:rPr>
          <w:szCs w:val="24"/>
        </w:rPr>
        <w:t xml:space="preserve"> с </w:t>
      </w:r>
      <w:proofErr w:type="spellStart"/>
      <w:r w:rsidRPr="00F122EA">
        <w:rPr>
          <w:szCs w:val="24"/>
        </w:rPr>
        <w:t>тези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образование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туризъм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регионално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от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по-добро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използване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европейските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националните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фондове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проекти</w:t>
      </w:r>
      <w:proofErr w:type="spellEnd"/>
      <w:r w:rsidRPr="00F122EA">
        <w:rPr>
          <w:szCs w:val="24"/>
        </w:rPr>
        <w:t xml:space="preserve"> в </w:t>
      </w:r>
      <w:proofErr w:type="spellStart"/>
      <w:r w:rsidRPr="00F122EA">
        <w:rPr>
          <w:szCs w:val="24"/>
        </w:rPr>
        <w:t>сферата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културата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творчеството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включително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местно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регионално</w:t>
      </w:r>
      <w:proofErr w:type="spellEnd"/>
      <w:r w:rsidRPr="00F122EA">
        <w:rPr>
          <w:szCs w:val="24"/>
        </w:rPr>
        <w:t xml:space="preserve"> </w:t>
      </w:r>
      <w:proofErr w:type="spellStart"/>
      <w:proofErr w:type="gramStart"/>
      <w:r w:rsidRPr="00F122EA">
        <w:rPr>
          <w:szCs w:val="24"/>
        </w:rPr>
        <w:t>ниво</w:t>
      </w:r>
      <w:proofErr w:type="spellEnd"/>
      <w:r w:rsidRPr="00F122EA">
        <w:rPr>
          <w:szCs w:val="24"/>
        </w:rPr>
        <w:t>.</w:t>
      </w:r>
      <w:r w:rsidRPr="00F122EA">
        <w:rPr>
          <w:szCs w:val="24"/>
          <w:lang w:val="bg-BG"/>
        </w:rPr>
        <w:t>Проект</w:t>
      </w:r>
      <w:proofErr w:type="gramEnd"/>
      <w:r w:rsidRPr="00F122EA">
        <w:rPr>
          <w:szCs w:val="24"/>
          <w:lang w:val="bg-BG"/>
        </w:rPr>
        <w:t xml:space="preserve"> за Национална стратегия за развитие на българската култура до 2029 г.</w:t>
      </w: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 xml:space="preserve">Проектът на </w:t>
      </w:r>
      <w:r w:rsidRPr="00F122EA">
        <w:rPr>
          <w:b/>
          <w:i/>
          <w:szCs w:val="24"/>
          <w:lang w:val="bg-BG"/>
        </w:rPr>
        <w:t>Национална стратегия за развитие на българската култура до 2029 г.</w:t>
      </w:r>
      <w:r w:rsidRPr="00F122EA">
        <w:rPr>
          <w:szCs w:val="24"/>
          <w:lang w:val="bg-BG"/>
        </w:rPr>
        <w:t xml:space="preserve"> формулира няколко основни стратегически цели, които очертават дългосрочната визия за културната политика.</w:t>
      </w: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lastRenderedPageBreak/>
        <w:t>Първата ключова цел е съхраняване на културната памет и историческото наследство, като се поставя акцент върху опазването, представянето и дигитализацията на богатото материално и нематериално наследство на България. В този контекст стратегията предвижда укрепване на законовата и институционалната рамка за наследството, подобряване на управлението на музеите и културните обекти, въвеждане на съвременни методи за консервация, реставрация и дигитален достъп и по-тясна връзка между наследство, образование и културен туризъм.</w:t>
      </w: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Втора стратегическа цел е ефективно и устойчиво финансиране на културата, включително търсене на по-работещ механизъм за комбиниране на държавно и общинско финансиране с алтернативни източници – европейски програми, частно финансиране, спонсорство, меценатство. Документът подчертава нуждата от по-прозрачни и предвидими финансови инструменти, от равнопоставено третиране на държавни, общински и независими културни организации и от стимули за културните и творческите индустрии, така че културата да се превърне в реален стратегически ресурс за социално и икономическо развитие.</w:t>
      </w: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Трета важна цел е достъп и участие в културата – осигуряване на по-широк и приобщаващ достъп до културни услуги и продукти, развитие на публики и намаляване на териториалните, социалните и икономическите неравенства в културното участие. Стратегията акцентира върху ролята на регионалните и местните културни институции (включително читалищата), върху културното образование и работата с деца и младежи, както и върху включването на уязвими групи чрез културни и художествени инициативи.</w:t>
      </w: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Четвърта стратегическа линия е подкрепа за творчеството и културните и творческите индустрии, включително стимули за създаване на ново българско изкуство, насърчаване на българската литература, музика и сценични изкуства в страната и в чужбина, развитие на креативни хъбове и мрежи. Документът поставя акцент върху подобряване на условията за художествен труд, повишаване статута на артистите, подкрепа за иновации и дигитални форми на култура и по-силна интеграция на българската култура в европейското културно пространство.</w:t>
      </w:r>
    </w:p>
    <w:p w:rsidR="005E481B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>На хоризонтално ниво стратегията подчертава необходимостта от стратегическо планиране, децентрализация и координация на политиките, така че културата да бъде призната като национален приоритет, а управлението ѝ да се основава на ясни приоритети, анализи и устойчиви механизми за изпълнение и мониторинг.</w:t>
      </w: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i/>
          <w:szCs w:val="24"/>
          <w:lang w:val="bg-BG"/>
        </w:rPr>
        <w:t>Иновационната стратегия за интелигентна специализация (ИСИС) 2021–2027</w:t>
      </w:r>
      <w:r w:rsidRPr="00F122EA">
        <w:rPr>
          <w:szCs w:val="24"/>
          <w:lang w:val="bg-BG"/>
        </w:rPr>
        <w:t xml:space="preserve"> е националната рамка, която насочва инвестициите в научни изследвания, иновации и развитие на малки и средни предприятия към области, в които България има потенциал за конкурентни предимства, включително в креативната икономика. Документът дефинира пет тематични области за интелигентна специализация („Информатика и ИКТ“, „Мехатроника“, „Индустрия за здравословен начин на живот“, „Нови технологии в креативните и рекреативните индустрии“, „Чисти технологии, кръгова и нисковъглеродна икономика“), като именно областта „Нови технологии в креативните и рекреативните индустрии“ създава рамка за развитие на културните и творческите </w:t>
      </w:r>
      <w:r w:rsidRPr="00F122EA">
        <w:rPr>
          <w:szCs w:val="24"/>
          <w:lang w:val="bg-BG"/>
        </w:rPr>
        <w:lastRenderedPageBreak/>
        <w:t>индустрии, културен и креативен туризъм, дигитално съдържание и иновации в сферата на културата. Стратегията подчертава необходимостта от свързване на културния и творческия сектор с технологиите, дигитализацията, зеления преход и регионалното развитие, като насърчава формирането на регионални иновационни екосистеми, креативни хъбове и партньорства между бизнес, научни организации, културни оператори и местни власти.</w:t>
      </w:r>
    </w:p>
    <w:p w:rsidR="00D01BCD" w:rsidRPr="00F122EA" w:rsidRDefault="00D01BCD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b/>
          <w:i/>
          <w:szCs w:val="24"/>
          <w:lang w:val="bg-BG"/>
        </w:rPr>
        <w:t>Националната стратегия за устойчиво развитие на туризма до 2030 г.</w:t>
      </w:r>
      <w:r w:rsidRPr="00F122EA">
        <w:rPr>
          <w:szCs w:val="24"/>
          <w:lang w:val="bg-BG"/>
        </w:rPr>
        <w:t xml:space="preserve"> поставя акцент върху балансираното развитие на сектора, като съчетава икономически растеж с опазване на природното и културното наследство и с повишаване на качеството на живота в туристическите райони. Културният туризъм е изведен като ключово направление за диверсификация на туристическия продукт и за удължаване на сезона, чрез по-добро оползотворяване на културно‑историческите ресурси, инвестиции в културни обекти и свързаната с тях инфраструктура, развитие на специализирани маршрути и интегриране на наследството в регионалните и местните туристически брандове. Стратегията изисква устойчиво и отговорно използване на културните ресурси, повишаване на качеството на услугите и уменията в сектора, включване на местните общности и бизнеса в планирането и управлението на туристическото развитие и насърчава форми като културен, градски, селски и еко‑туризъм, основани на автентичната културна среда.</w:t>
      </w:r>
    </w:p>
    <w:p w:rsidR="00E82D96" w:rsidRPr="00F122EA" w:rsidRDefault="00E82D96" w:rsidP="00F122EA">
      <w:pPr>
        <w:pStyle w:val="ListParagraph"/>
        <w:numPr>
          <w:ilvl w:val="0"/>
          <w:numId w:val="1"/>
        </w:numPr>
        <w:spacing w:before="120" w:after="120"/>
        <w:ind w:firstLine="709"/>
        <w:rPr>
          <w:rStyle w:val="Strong"/>
          <w:b w:val="0"/>
          <w:bCs w:val="0"/>
          <w:szCs w:val="24"/>
          <w:lang w:val="bg-BG"/>
        </w:rPr>
      </w:pPr>
      <w:r w:rsidRPr="00F122EA">
        <w:rPr>
          <w:rStyle w:val="Strong"/>
          <w:szCs w:val="24"/>
          <w:lang w:val="bg-BG"/>
        </w:rPr>
        <w:t>О</w:t>
      </w:r>
      <w:proofErr w:type="spellStart"/>
      <w:r w:rsidRPr="00F122EA">
        <w:rPr>
          <w:rStyle w:val="Strong"/>
          <w:szCs w:val="24"/>
        </w:rPr>
        <w:t>бщинска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стратегическа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рамка</w:t>
      </w:r>
      <w:proofErr w:type="spellEnd"/>
      <w:r w:rsidRPr="00F122EA">
        <w:rPr>
          <w:rStyle w:val="Strong"/>
          <w:szCs w:val="24"/>
        </w:rPr>
        <w:t xml:space="preserve"> и </w:t>
      </w:r>
      <w:proofErr w:type="spellStart"/>
      <w:r w:rsidRPr="00F122EA">
        <w:rPr>
          <w:rStyle w:val="Strong"/>
          <w:szCs w:val="24"/>
        </w:rPr>
        <w:t>политика</w:t>
      </w:r>
      <w:proofErr w:type="spellEnd"/>
      <w:r w:rsidRPr="00F122EA">
        <w:rPr>
          <w:rStyle w:val="Strong"/>
          <w:szCs w:val="24"/>
        </w:rPr>
        <w:t xml:space="preserve"> в </w:t>
      </w:r>
      <w:proofErr w:type="spellStart"/>
      <w:r w:rsidRPr="00F122EA">
        <w:rPr>
          <w:rStyle w:val="Strong"/>
          <w:szCs w:val="24"/>
        </w:rPr>
        <w:t>областта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на</w:t>
      </w:r>
      <w:proofErr w:type="spellEnd"/>
      <w:r w:rsidRPr="00F122EA">
        <w:rPr>
          <w:rStyle w:val="Strong"/>
          <w:szCs w:val="24"/>
        </w:rPr>
        <w:t xml:space="preserve"> </w:t>
      </w:r>
      <w:proofErr w:type="spellStart"/>
      <w:r w:rsidRPr="00F122EA">
        <w:rPr>
          <w:rStyle w:val="Strong"/>
          <w:szCs w:val="24"/>
        </w:rPr>
        <w:t>културата</w:t>
      </w:r>
      <w:proofErr w:type="spellEnd"/>
    </w:p>
    <w:p w:rsidR="00E82D96" w:rsidRPr="00F122EA" w:rsidRDefault="00E82D96" w:rsidP="00F122EA">
      <w:pPr>
        <w:spacing w:before="120" w:after="120"/>
        <w:ind w:firstLine="709"/>
        <w:rPr>
          <w:szCs w:val="24"/>
        </w:rPr>
      </w:pPr>
      <w:proofErr w:type="spellStart"/>
      <w:r w:rsidRPr="00F122EA">
        <w:rPr>
          <w:b/>
          <w:szCs w:val="24"/>
        </w:rPr>
        <w:t>Планът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за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интегрирано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развитие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на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община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Царево</w:t>
      </w:r>
      <w:proofErr w:type="spellEnd"/>
      <w:r w:rsidRPr="00F122EA">
        <w:rPr>
          <w:b/>
          <w:szCs w:val="24"/>
        </w:rPr>
        <w:t xml:space="preserve"> (ПИРО) 2021–2027 г.</w:t>
      </w:r>
      <w:r w:rsidRPr="00F122EA">
        <w:rPr>
          <w:szCs w:val="24"/>
        </w:rPr>
        <w:t xml:space="preserve"> е </w:t>
      </w:r>
      <w:proofErr w:type="spellStart"/>
      <w:r w:rsidRPr="00F122EA">
        <w:rPr>
          <w:szCs w:val="24"/>
        </w:rPr>
        <w:t>основният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средносрочен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стратегически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документ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общината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определя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визията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стратегическите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цели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приоритетите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територията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във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всички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ключови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сфери</w:t>
      </w:r>
      <w:proofErr w:type="spellEnd"/>
      <w:r w:rsidRPr="00F122EA">
        <w:rPr>
          <w:szCs w:val="24"/>
        </w:rPr>
        <w:t xml:space="preserve"> – </w:t>
      </w:r>
      <w:proofErr w:type="spellStart"/>
      <w:r w:rsidRPr="00F122EA">
        <w:rPr>
          <w:szCs w:val="24"/>
        </w:rPr>
        <w:t>икономика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социална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политика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инфраструктура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култура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туризъм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околна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среда</w:t>
      </w:r>
      <w:proofErr w:type="spellEnd"/>
      <w:r w:rsidRPr="00F122EA">
        <w:rPr>
          <w:szCs w:val="24"/>
        </w:rPr>
        <w:t xml:space="preserve">. </w:t>
      </w:r>
      <w:proofErr w:type="spellStart"/>
      <w:r w:rsidRPr="00F122EA">
        <w:rPr>
          <w:szCs w:val="24"/>
        </w:rPr>
        <w:t>Той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стъпва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подробен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анализ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икономическото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социалното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екологичното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състояние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общината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интегрира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регионалното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пространственото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като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предвижда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прилагане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интегрирани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подходи</w:t>
      </w:r>
      <w:proofErr w:type="spellEnd"/>
      <w:r w:rsidRPr="00F122EA">
        <w:rPr>
          <w:szCs w:val="24"/>
        </w:rPr>
        <w:t xml:space="preserve"> – </w:t>
      </w:r>
      <w:proofErr w:type="spellStart"/>
      <w:r w:rsidRPr="00F122EA">
        <w:rPr>
          <w:szCs w:val="24"/>
        </w:rPr>
        <w:t>зони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интегрирани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инвестиции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концепции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интегрирани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териториални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инвестиции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местни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инициативи</w:t>
      </w:r>
      <w:proofErr w:type="spellEnd"/>
      <w:r w:rsidRPr="00F122EA">
        <w:rPr>
          <w:szCs w:val="24"/>
        </w:rPr>
        <w:t xml:space="preserve"> – в </w:t>
      </w:r>
      <w:proofErr w:type="spellStart"/>
      <w:r w:rsidRPr="00F122EA">
        <w:rPr>
          <w:szCs w:val="24"/>
        </w:rPr>
        <w:t>съответствие</w:t>
      </w:r>
      <w:proofErr w:type="spellEnd"/>
      <w:r w:rsidRPr="00F122EA">
        <w:rPr>
          <w:szCs w:val="24"/>
        </w:rPr>
        <w:t xml:space="preserve"> с </w:t>
      </w:r>
      <w:proofErr w:type="spellStart"/>
      <w:r w:rsidRPr="00F122EA">
        <w:rPr>
          <w:szCs w:val="24"/>
        </w:rPr>
        <w:t>националните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европейските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цели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регионално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>.</w:t>
      </w:r>
      <w:r w:rsidRPr="00F122EA">
        <w:rPr>
          <w:szCs w:val="24"/>
          <w:lang w:val="bg-BG"/>
        </w:rPr>
        <w:t xml:space="preserve"> </w:t>
      </w:r>
      <w:r w:rsidRPr="00F122EA">
        <w:rPr>
          <w:szCs w:val="24"/>
        </w:rPr>
        <w:t xml:space="preserve">В </w:t>
      </w:r>
      <w:proofErr w:type="spellStart"/>
      <w:r w:rsidRPr="00F122EA">
        <w:rPr>
          <w:szCs w:val="24"/>
        </w:rPr>
        <w:t>областта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културата</w:t>
      </w:r>
      <w:proofErr w:type="spellEnd"/>
      <w:r w:rsidRPr="00F122EA">
        <w:rPr>
          <w:szCs w:val="24"/>
        </w:rPr>
        <w:t xml:space="preserve"> ПИРО </w:t>
      </w:r>
      <w:proofErr w:type="spellStart"/>
      <w:r w:rsidRPr="00F122EA">
        <w:rPr>
          <w:szCs w:val="24"/>
        </w:rPr>
        <w:t>включва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специален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раздел</w:t>
      </w:r>
      <w:proofErr w:type="spellEnd"/>
      <w:r w:rsidRPr="00F122EA">
        <w:rPr>
          <w:szCs w:val="24"/>
        </w:rPr>
        <w:t xml:space="preserve"> „</w:t>
      </w:r>
      <w:proofErr w:type="spellStart"/>
      <w:r w:rsidRPr="00F122EA">
        <w:rPr>
          <w:szCs w:val="24"/>
        </w:rPr>
        <w:t>Културна</w:t>
      </w:r>
      <w:proofErr w:type="spellEnd"/>
      <w:r w:rsidRPr="00F122EA">
        <w:rPr>
          <w:szCs w:val="24"/>
        </w:rPr>
        <w:t xml:space="preserve"> </w:t>
      </w:r>
      <w:proofErr w:type="spellStart"/>
      <w:proofErr w:type="gramStart"/>
      <w:r w:rsidRPr="00F122EA">
        <w:rPr>
          <w:szCs w:val="24"/>
        </w:rPr>
        <w:t>дейност</w:t>
      </w:r>
      <w:proofErr w:type="spellEnd"/>
      <w:r w:rsidRPr="00F122EA">
        <w:rPr>
          <w:szCs w:val="24"/>
        </w:rPr>
        <w:t>“</w:t>
      </w:r>
      <w:proofErr w:type="gramEnd"/>
      <w:r w:rsidRPr="00F122EA">
        <w:rPr>
          <w:szCs w:val="24"/>
        </w:rPr>
        <w:t xml:space="preserve">, в </w:t>
      </w:r>
      <w:proofErr w:type="spellStart"/>
      <w:r w:rsidRPr="00F122EA">
        <w:rPr>
          <w:szCs w:val="24"/>
        </w:rPr>
        <w:t>който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анализират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териториалната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структура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културно‑историческото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наследство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недвижимите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културно‑исторически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ценности</w:t>
      </w:r>
      <w:proofErr w:type="spellEnd"/>
      <w:r w:rsidRPr="00F122EA">
        <w:rPr>
          <w:szCs w:val="24"/>
        </w:rPr>
        <w:t xml:space="preserve"> в и </w:t>
      </w:r>
      <w:proofErr w:type="spellStart"/>
      <w:r w:rsidRPr="00F122EA">
        <w:rPr>
          <w:szCs w:val="24"/>
        </w:rPr>
        <w:t>извън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населените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места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политиките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достъпност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нематериалните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ценности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мрежата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читалища</w:t>
      </w:r>
      <w:proofErr w:type="spellEnd"/>
      <w:r w:rsidRPr="00F122EA">
        <w:rPr>
          <w:szCs w:val="24"/>
        </w:rPr>
        <w:t xml:space="preserve">.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тази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основа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планът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разпознава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културата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наследството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като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важен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ресурс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идентичност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качество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живот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културния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туризъм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предвижда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мерки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опазване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социализация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наследството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инфраструктура</w:t>
      </w:r>
      <w:proofErr w:type="spellEnd"/>
      <w:r w:rsidRPr="00F122EA">
        <w:rPr>
          <w:szCs w:val="24"/>
        </w:rPr>
        <w:t xml:space="preserve"> (</w:t>
      </w:r>
      <w:proofErr w:type="spellStart"/>
      <w:r w:rsidRPr="00F122EA">
        <w:rPr>
          <w:szCs w:val="24"/>
        </w:rPr>
        <w:t>вкл</w:t>
      </w:r>
      <w:proofErr w:type="spellEnd"/>
      <w:r w:rsidRPr="00F122EA">
        <w:rPr>
          <w:szCs w:val="24"/>
        </w:rPr>
        <w:t xml:space="preserve">. </w:t>
      </w:r>
      <w:proofErr w:type="spellStart"/>
      <w:r w:rsidRPr="00F122EA">
        <w:rPr>
          <w:szCs w:val="24"/>
        </w:rPr>
        <w:t>сцени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пространства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събития</w:t>
      </w:r>
      <w:proofErr w:type="spellEnd"/>
      <w:r w:rsidRPr="00F122EA">
        <w:rPr>
          <w:szCs w:val="24"/>
        </w:rPr>
        <w:t xml:space="preserve">), </w:t>
      </w:r>
      <w:proofErr w:type="spellStart"/>
      <w:r w:rsidRPr="00F122EA">
        <w:rPr>
          <w:szCs w:val="24"/>
        </w:rPr>
        <w:t>подкрепа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читалищата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фестивалния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календар</w:t>
      </w:r>
      <w:proofErr w:type="spellEnd"/>
      <w:r w:rsidRPr="00F122EA">
        <w:rPr>
          <w:szCs w:val="24"/>
        </w:rPr>
        <w:t xml:space="preserve">, </w:t>
      </w:r>
      <w:proofErr w:type="spellStart"/>
      <w:r w:rsidRPr="00F122EA">
        <w:rPr>
          <w:szCs w:val="24"/>
        </w:rPr>
        <w:t>както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интегриране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на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културните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маршрути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културните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коридори</w:t>
      </w:r>
      <w:proofErr w:type="spellEnd"/>
      <w:r w:rsidRPr="00F122EA">
        <w:rPr>
          <w:szCs w:val="24"/>
        </w:rPr>
        <w:t xml:space="preserve"> в </w:t>
      </w:r>
      <w:proofErr w:type="spellStart"/>
      <w:r w:rsidRPr="00F122EA">
        <w:rPr>
          <w:szCs w:val="24"/>
        </w:rPr>
        <w:t>общинската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политика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за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туризъм</w:t>
      </w:r>
      <w:proofErr w:type="spellEnd"/>
      <w:r w:rsidRPr="00F122EA">
        <w:rPr>
          <w:szCs w:val="24"/>
        </w:rPr>
        <w:t xml:space="preserve"> и </w:t>
      </w:r>
      <w:proofErr w:type="spellStart"/>
      <w:r w:rsidRPr="00F122EA">
        <w:rPr>
          <w:szCs w:val="24"/>
        </w:rPr>
        <w:t>териториално</w:t>
      </w:r>
      <w:proofErr w:type="spellEnd"/>
      <w:r w:rsidRPr="00F122EA">
        <w:rPr>
          <w:szCs w:val="24"/>
        </w:rPr>
        <w:t xml:space="preserve"> </w:t>
      </w:r>
      <w:proofErr w:type="spellStart"/>
      <w:r w:rsidRPr="00F122EA">
        <w:rPr>
          <w:szCs w:val="24"/>
        </w:rPr>
        <w:t>развитие</w:t>
      </w:r>
      <w:proofErr w:type="spellEnd"/>
      <w:r w:rsidRPr="00F122EA">
        <w:rPr>
          <w:szCs w:val="24"/>
        </w:rPr>
        <w:t>.</w:t>
      </w:r>
    </w:p>
    <w:p w:rsidR="00E82D96" w:rsidRPr="00F122EA" w:rsidRDefault="00E82D96" w:rsidP="00F122EA">
      <w:pPr>
        <w:spacing w:before="120" w:after="120"/>
        <w:ind w:firstLine="709"/>
        <w:rPr>
          <w:szCs w:val="24"/>
        </w:rPr>
      </w:pPr>
      <w:proofErr w:type="spellStart"/>
      <w:r w:rsidRPr="00F122EA">
        <w:rPr>
          <w:b/>
          <w:szCs w:val="24"/>
        </w:rPr>
        <w:t>Общинският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фонд</w:t>
      </w:r>
      <w:proofErr w:type="spellEnd"/>
      <w:r w:rsidRPr="00F122EA">
        <w:rPr>
          <w:b/>
          <w:szCs w:val="24"/>
        </w:rPr>
        <w:t xml:space="preserve"> „</w:t>
      </w:r>
      <w:proofErr w:type="spellStart"/>
      <w:proofErr w:type="gramStart"/>
      <w:r w:rsidRPr="00F122EA">
        <w:rPr>
          <w:b/>
          <w:szCs w:val="24"/>
        </w:rPr>
        <w:t>Култура</w:t>
      </w:r>
      <w:proofErr w:type="spellEnd"/>
      <w:r w:rsidRPr="00F122EA">
        <w:rPr>
          <w:b/>
          <w:szCs w:val="24"/>
        </w:rPr>
        <w:t xml:space="preserve">“ </w:t>
      </w:r>
      <w:r w:rsidRPr="00F122EA">
        <w:rPr>
          <w:szCs w:val="24"/>
        </w:rPr>
        <w:t>и</w:t>
      </w:r>
      <w:proofErr w:type="gramEnd"/>
      <w:r w:rsidRPr="00F122EA">
        <w:rPr>
          <w:szCs w:val="24"/>
        </w:rPr>
        <w:t xml:space="preserve"> </w:t>
      </w:r>
      <w:proofErr w:type="spellStart"/>
      <w:r w:rsidRPr="00F122EA">
        <w:rPr>
          <w:b/>
          <w:szCs w:val="24"/>
        </w:rPr>
        <w:t>Механизмът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за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селекция</w:t>
      </w:r>
      <w:proofErr w:type="spellEnd"/>
      <w:r w:rsidRPr="00F122EA">
        <w:rPr>
          <w:b/>
          <w:szCs w:val="24"/>
        </w:rPr>
        <w:t xml:space="preserve"> и </w:t>
      </w:r>
      <w:proofErr w:type="spellStart"/>
      <w:r w:rsidRPr="00F122EA">
        <w:rPr>
          <w:b/>
          <w:szCs w:val="24"/>
        </w:rPr>
        <w:t>подбор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на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културни</w:t>
      </w:r>
      <w:proofErr w:type="spellEnd"/>
      <w:r w:rsidRPr="00F122EA">
        <w:rPr>
          <w:b/>
          <w:szCs w:val="24"/>
        </w:rPr>
        <w:t xml:space="preserve"> </w:t>
      </w:r>
      <w:proofErr w:type="spellStart"/>
      <w:r w:rsidRPr="00F122EA">
        <w:rPr>
          <w:b/>
          <w:szCs w:val="24"/>
        </w:rPr>
        <w:t>оператори</w:t>
      </w:r>
      <w:proofErr w:type="spellEnd"/>
      <w:r w:rsidRPr="00F122EA">
        <w:rPr>
          <w:szCs w:val="24"/>
        </w:rPr>
        <w:t xml:space="preserve"> </w:t>
      </w:r>
      <w:r w:rsidRPr="00F122EA">
        <w:rPr>
          <w:szCs w:val="24"/>
          <w:lang w:val="bg-BG"/>
        </w:rPr>
        <w:t xml:space="preserve">формират стратегическата рамка на новата културна политика на </w:t>
      </w:r>
      <w:r w:rsidRPr="00F122EA">
        <w:rPr>
          <w:szCs w:val="24"/>
          <w:lang w:val="bg-BG"/>
        </w:rPr>
        <w:lastRenderedPageBreak/>
        <w:t>Царево, като определят не само модела на финансиране, но и профила на желаната културна екосистема. Чрез тях общината преминава от фрагментарно, събитийно подпомагане към последователна и предвидима подкрепа за инициативи с висока обществена добавена стойност, ориентирани към опазване на културната памет, разширяване на участието и позициониране на Царево в регионален, национален и международен контекст. В този смисъл двата документа третират културата като стратегически ресурс за участие, иновации, социална кохезия, зелена трансформация и утвърждаване на местната идентичност.</w:t>
      </w:r>
    </w:p>
    <w:p w:rsidR="00E82D96" w:rsidRPr="00F122EA" w:rsidRDefault="00E82D96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 xml:space="preserve">Правилникът за работа на Общински фонд „Култура“ дефинира фонда като целенасочен финансов инструмент за провеждане на общинската културна политика, основан на прозрачни и открити процедури и на диверсифицирани източници на финансиране. Приоритетно се подкрепят организации и индивидуални творци, създаващи културни продукти, тематично обвързани с град и община Царево, с фокус върху художествени произведения, културни събития, литературни и документални проекти, изследвания на културно‑историческото наследство и развитието на млади таланти. Фондът се позиционира като платформа за дългосрочен диалог между общинския и гражданския сектор и за системно популяризиране </w:t>
      </w:r>
      <w:r w:rsidR="00410611" w:rsidRPr="00F122EA">
        <w:rPr>
          <w:szCs w:val="24"/>
          <w:lang w:val="bg-BG"/>
        </w:rPr>
        <w:t>на културния профил на Царево.​</w:t>
      </w:r>
    </w:p>
    <w:p w:rsidR="00E82D96" w:rsidRPr="00F122EA" w:rsidRDefault="00E82D96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 xml:space="preserve">Механизмът за селекция и подбор </w:t>
      </w:r>
      <w:r w:rsidR="00410611" w:rsidRPr="00F122EA">
        <w:rPr>
          <w:szCs w:val="24"/>
          <w:lang w:val="bg-BG"/>
        </w:rPr>
        <w:t>конкретизира</w:t>
      </w:r>
      <w:r w:rsidRPr="00F122EA">
        <w:rPr>
          <w:szCs w:val="24"/>
          <w:lang w:val="bg-BG"/>
        </w:rPr>
        <w:t xml:space="preserve"> тези цели, като въвежда ясни приоритети по съдържание и формат, критерии за допустимост и оценка и процедури за мониторинг и отчетност. Акцент се поставя върху инициативи, които опазват културното наследство и паметта, обогатяват културната идентичност, разширяват достъпа до култура, развиват творческия и институционалния капацитет и създават конкурентоспособни културни продукти в ключови тематични направления – от визуални и сценични изкуства до дигитални формати. Чрез категориите „Фестивали и значими събития“ и „Гражданска активност“ механизмът балансира между имиджови, високопрофилни прояви и дългосрочно изграждане на активни общн</w:t>
      </w:r>
      <w:r w:rsidR="00410611" w:rsidRPr="00F122EA">
        <w:rPr>
          <w:szCs w:val="24"/>
          <w:lang w:val="bg-BG"/>
        </w:rPr>
        <w:t xml:space="preserve">ости и публики на местно ниво.​ </w:t>
      </w:r>
      <w:r w:rsidRPr="00F122EA">
        <w:rPr>
          <w:szCs w:val="24"/>
          <w:lang w:val="bg-BG"/>
        </w:rPr>
        <w:t>Допълнително Механизмът въвежда хоризонтални приоритети, свързани с интегриране на екомерки и опазване на зелената градска среда, приобщаване на уязвими групи и деца с увреждания, насърчаване на равенството, социалното включване и недопускане на дискриминация. В комбинация тези елементи позиционират Общински фонд „Култура“ и Механизма като ключови инструменти за изграждане на устойчива, отворена и конкурентна културна среда, съзвучна с Плана за интегрирано развитие на община Царево 2021–2027 и с актуалните европейски и национални политики в сферата на културата.</w:t>
      </w:r>
    </w:p>
    <w:p w:rsidR="007B0C65" w:rsidRPr="00F122EA" w:rsidRDefault="007B0C65" w:rsidP="00F122EA">
      <w:pPr>
        <w:spacing w:before="120" w:after="120"/>
        <w:ind w:firstLine="709"/>
        <w:rPr>
          <w:szCs w:val="24"/>
          <w:lang w:val="bg-BG"/>
        </w:rPr>
      </w:pPr>
      <w:r w:rsidRPr="00F122EA">
        <w:rPr>
          <w:szCs w:val="24"/>
          <w:lang w:val="bg-BG"/>
        </w:rPr>
        <w:t xml:space="preserve">Културната стратегия на община Царево стъпва върху споделена международна, национална и местна визия за културата като обществено благо, двигател на устойчиво развитие и носител на права. Чрез системно съобразяване с ключовите документи на ЮНЕСКО, европейските и национални политики и общинските програми, общината позиционира културата не като периферна услуга, а като стратегически ресурс за идентичност, качество на живот, икономическа активност и социална кохезия. На тази основа Царево изгражда последователна, отворена и приобщаваща културна политика, в </w:t>
      </w:r>
      <w:r w:rsidRPr="00F122EA">
        <w:rPr>
          <w:szCs w:val="24"/>
          <w:lang w:val="bg-BG"/>
        </w:rPr>
        <w:lastRenderedPageBreak/>
        <w:t>която опазването на наследството, насърчаването на творчеството и подкрепата за културни оператори се обвързват с дългосрочните цели на устойчивото развитие и с активното участие на местните общност</w:t>
      </w:r>
      <w:bookmarkStart w:id="0" w:name="_GoBack"/>
      <w:bookmarkEnd w:id="0"/>
      <w:r w:rsidRPr="00F122EA">
        <w:rPr>
          <w:szCs w:val="24"/>
          <w:lang w:val="bg-BG"/>
        </w:rPr>
        <w:t>и.</w:t>
      </w:r>
    </w:p>
    <w:sectPr w:rsidR="007B0C65" w:rsidRPr="00F122E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DE1" w:rsidRDefault="004D4DE1" w:rsidP="00CE6871">
      <w:pPr>
        <w:spacing w:after="0" w:line="240" w:lineRule="auto"/>
      </w:pPr>
      <w:r>
        <w:separator/>
      </w:r>
    </w:p>
  </w:endnote>
  <w:endnote w:type="continuationSeparator" w:id="0">
    <w:p w:rsidR="004D4DE1" w:rsidRDefault="004D4DE1" w:rsidP="00CE6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5"/>
      <w:gridCol w:w="4517"/>
    </w:tblGrid>
    <w:tr w:rsidR="00CE6871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:rsidR="00CE6871" w:rsidRDefault="00CE6871">
          <w:pPr>
            <w:pStyle w:val="Header"/>
            <w:tabs>
              <w:tab w:val="clear" w:pos="4703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:rsidR="00CE6871" w:rsidRDefault="00CE6871">
          <w:pPr>
            <w:pStyle w:val="Header"/>
            <w:tabs>
              <w:tab w:val="clear" w:pos="4703"/>
            </w:tabs>
            <w:jc w:val="right"/>
            <w:rPr>
              <w:caps/>
              <w:sz w:val="18"/>
            </w:rPr>
          </w:pPr>
        </w:p>
      </w:tc>
    </w:tr>
    <w:tr w:rsidR="00CE6871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44D614F3FD6243E6A7B0E7F0BBAB895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:rsidR="00CE6871" w:rsidRDefault="00CE6871">
              <w:pPr>
                <w:pStyle w:val="Footer"/>
                <w:tabs>
                  <w:tab w:val="clear" w:pos="4703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  <w:lang w:val="bg-BG"/>
                </w:rPr>
                <w:t>ОБЩИНА ЦАРЕВО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CE6871" w:rsidRDefault="00CE6871">
          <w:pPr>
            <w:pStyle w:val="Footer"/>
            <w:tabs>
              <w:tab w:val="clear" w:pos="4703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CE6871" w:rsidRPr="00CE6871" w:rsidRDefault="00CE6871" w:rsidP="00CE6871">
    <w:pPr>
      <w:pStyle w:val="Footer"/>
      <w:jc w:val="center"/>
      <w:rPr>
        <w:color w:val="4472C4" w:themeColor="accent1"/>
        <w:lang w:val="bg-BG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DE1" w:rsidRDefault="004D4DE1" w:rsidP="00CE6871">
      <w:pPr>
        <w:spacing w:after="0" w:line="240" w:lineRule="auto"/>
      </w:pPr>
      <w:r>
        <w:separator/>
      </w:r>
    </w:p>
  </w:footnote>
  <w:footnote w:type="continuationSeparator" w:id="0">
    <w:p w:rsidR="004D4DE1" w:rsidRDefault="004D4DE1" w:rsidP="00CE6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6871" w:rsidRPr="00CE6871" w:rsidRDefault="00CE6871" w:rsidP="00CE6871">
    <w:pPr>
      <w:pStyle w:val="Header"/>
      <w:jc w:val="center"/>
      <w:rPr>
        <w:b/>
        <w:color w:val="4472C4" w:themeColor="accent1"/>
        <w:lang w:val="bg-BG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CE6871">
      <w:rPr>
        <w:b/>
        <w:color w:val="4472C4" w:themeColor="accent1"/>
        <w:lang w:val="bg-BG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Културна стратегия за периода 2026 г. – 2035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70468"/>
    <w:multiLevelType w:val="hybridMultilevel"/>
    <w:tmpl w:val="93302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46DC6"/>
    <w:multiLevelType w:val="hybridMultilevel"/>
    <w:tmpl w:val="34B6B990"/>
    <w:lvl w:ilvl="0" w:tplc="EA5A3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0B"/>
    <w:rsid w:val="00067F84"/>
    <w:rsid w:val="001342D0"/>
    <w:rsid w:val="00160BC0"/>
    <w:rsid w:val="00183818"/>
    <w:rsid w:val="00292C6A"/>
    <w:rsid w:val="00410611"/>
    <w:rsid w:val="00432469"/>
    <w:rsid w:val="004D4DE1"/>
    <w:rsid w:val="004D6624"/>
    <w:rsid w:val="005E481B"/>
    <w:rsid w:val="007046F6"/>
    <w:rsid w:val="007B0C65"/>
    <w:rsid w:val="007C5D7E"/>
    <w:rsid w:val="00995A1B"/>
    <w:rsid w:val="00A71D6A"/>
    <w:rsid w:val="00BC1E8D"/>
    <w:rsid w:val="00CE6871"/>
    <w:rsid w:val="00D01BCD"/>
    <w:rsid w:val="00E00C21"/>
    <w:rsid w:val="00E03911"/>
    <w:rsid w:val="00E82D96"/>
    <w:rsid w:val="00F122EA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BEA58-EF02-407D-97BF-C989E483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8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E8D"/>
    <w:pPr>
      <w:ind w:left="720"/>
      <w:contextualSpacing/>
    </w:pPr>
  </w:style>
  <w:style w:type="paragraph" w:customStyle="1" w:styleId="my-2">
    <w:name w:val="my-2"/>
    <w:basedOn w:val="Normal"/>
    <w:rsid w:val="007046F6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character" w:customStyle="1" w:styleId="inline-flex">
    <w:name w:val="inline-flex"/>
    <w:basedOn w:val="DefaultParagraphFont"/>
    <w:rsid w:val="007046F6"/>
  </w:style>
  <w:style w:type="character" w:styleId="Strong">
    <w:name w:val="Strong"/>
    <w:basedOn w:val="DefaultParagraphFont"/>
    <w:uiPriority w:val="22"/>
    <w:qFormat/>
    <w:rsid w:val="007046F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E68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E68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87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68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87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5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4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59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933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4D614F3FD6243E6A7B0E7F0BBAB8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296BD-0DD0-4898-815E-22AE328152CA}"/>
      </w:docPartPr>
      <w:docPartBody>
        <w:p w:rsidR="00B013AA" w:rsidRDefault="004C6270" w:rsidP="004C6270">
          <w:pPr>
            <w:pStyle w:val="44D614F3FD6243E6A7B0E7F0BBAB8957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70"/>
    <w:rsid w:val="004C6270"/>
    <w:rsid w:val="00831155"/>
    <w:rsid w:val="00B013AA"/>
    <w:rsid w:val="00CD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6270"/>
    <w:rPr>
      <w:color w:val="808080"/>
    </w:rPr>
  </w:style>
  <w:style w:type="paragraph" w:customStyle="1" w:styleId="44D614F3FD6243E6A7B0E7F0BBAB8957">
    <w:name w:val="44D614F3FD6243E6A7B0E7F0BBAB8957"/>
    <w:rsid w:val="004C62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12</Pages>
  <Words>4948</Words>
  <Characters>28205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ОБЩИНА ЦАРЕВО</dc:creator>
  <cp:keywords/>
  <dc:description/>
  <cp:lastModifiedBy>G-P</cp:lastModifiedBy>
  <cp:revision>8</cp:revision>
  <dcterms:created xsi:type="dcterms:W3CDTF">2026-03-07T12:01:00Z</dcterms:created>
  <dcterms:modified xsi:type="dcterms:W3CDTF">2026-03-08T09:36:00Z</dcterms:modified>
</cp:coreProperties>
</file>